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2A9" w:rsidRPr="008F44E2" w:rsidRDefault="00DD52A9" w:rsidP="00DD52A9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CEMENTERIOS JUL</w:t>
      </w:r>
      <w:bookmarkStart w:id="0" w:name="_GoBack"/>
      <w:bookmarkEnd w:id="0"/>
      <w:r>
        <w:rPr>
          <w:b/>
          <w:sz w:val="36"/>
        </w:rPr>
        <w:t>IO 2019</w:t>
      </w:r>
      <w:r w:rsidRPr="008F44E2">
        <w:rPr>
          <w:b/>
          <w:sz w:val="36"/>
        </w:rPr>
        <w:t>.</w:t>
      </w:r>
    </w:p>
    <w:p w:rsidR="00DD52A9" w:rsidRDefault="00DD52A9" w:rsidP="00DD52A9">
      <w:pPr>
        <w:rPr>
          <w:b/>
        </w:rPr>
      </w:pPr>
    </w:p>
    <w:p w:rsidR="00DD52A9" w:rsidRDefault="00DD52A9" w:rsidP="00DD52A9">
      <w:pPr>
        <w:rPr>
          <w:b/>
        </w:rPr>
      </w:pPr>
    </w:p>
    <w:p w:rsidR="00DD52A9" w:rsidRDefault="00DD52A9" w:rsidP="00DD52A9">
      <w:pPr>
        <w:rPr>
          <w:b/>
        </w:rPr>
      </w:pPr>
    </w:p>
    <w:p w:rsidR="00DD52A9" w:rsidRPr="00FB0434" w:rsidRDefault="00DD52A9" w:rsidP="00DD52A9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0DA4954A" wp14:editId="7DFFF3D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D52A9" w:rsidRDefault="00DD52A9" w:rsidP="00DD52A9"/>
    <w:p w:rsidR="001D3E9F" w:rsidRDefault="001D3E9F"/>
    <w:sectPr w:rsidR="001D3E9F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A9"/>
    <w:rsid w:val="001D3E9F"/>
    <w:rsid w:val="00DD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2A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2A9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C. Antonio Naranjo López</c:v>
                </c:pt>
                <c:pt idx="2">
                  <c:v>Ing. Joaquín Jiménez Pérez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1835648"/>
        <c:axId val="181837184"/>
        <c:axId val="0"/>
      </c:bar3DChart>
      <c:catAx>
        <c:axId val="181835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81837184"/>
        <c:crosses val="autoZero"/>
        <c:auto val="1"/>
        <c:lblAlgn val="ctr"/>
        <c:lblOffset val="100"/>
        <c:noMultiLvlLbl val="0"/>
      </c:catAx>
      <c:valAx>
        <c:axId val="181837184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8183564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2019-08-06T23:59:00Z</dcterms:created>
  <dcterms:modified xsi:type="dcterms:W3CDTF">2019-08-07T00:00:00Z</dcterms:modified>
</cp:coreProperties>
</file>